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3361F71B"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#96</w:t>
      </w:r>
      <w:r w:rsidRPr="00A41770">
        <w:rPr>
          <w:rStyle w:val="Emphasis"/>
          <w:b/>
          <w:i w:val="0"/>
          <w:sz w:val="22"/>
        </w:rPr>
        <w:tab/>
      </w:r>
      <w:r w:rsidR="00386F79" w:rsidRPr="00386F79">
        <w:rPr>
          <w:rStyle w:val="Emphasis"/>
          <w:b/>
          <w:i w:val="0"/>
          <w:sz w:val="22"/>
        </w:rPr>
        <w:t>R1-</w:t>
      </w:r>
      <w:r w:rsidR="00CA6A85">
        <w:rPr>
          <w:rStyle w:val="Emphasis"/>
          <w:b/>
          <w:i w:val="0"/>
          <w:sz w:val="22"/>
        </w:rPr>
        <w:t>190</w:t>
      </w:r>
      <w:r w:rsidR="00B33BFF">
        <w:rPr>
          <w:rStyle w:val="Emphasis"/>
          <w:b/>
          <w:i w:val="0"/>
          <w:sz w:val="22"/>
        </w:rPr>
        <w:t>1812</w:t>
      </w:r>
    </w:p>
    <w:p w14:paraId="52589413" w14:textId="3D2524E6" w:rsidR="008A6BAD" w:rsidRPr="00051139" w:rsidRDefault="00B33BFF"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Athens</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Greece</w:t>
      </w:r>
      <w:r w:rsidR="00CA6A85">
        <w:rPr>
          <w:rStyle w:val="Emphasis"/>
          <w:rFonts w:eastAsia="新細明體"/>
          <w:b/>
          <w:i w:val="0"/>
          <w:sz w:val="22"/>
          <w:lang w:eastAsia="zh-TW"/>
        </w:rPr>
        <w:t>, 2</w:t>
      </w:r>
      <w:r>
        <w:rPr>
          <w:rStyle w:val="Emphasis"/>
          <w:rFonts w:eastAsia="新細明體"/>
          <w:b/>
          <w:i w:val="0"/>
          <w:sz w:val="22"/>
          <w:lang w:eastAsia="zh-TW"/>
        </w:rPr>
        <w:t>5</w:t>
      </w:r>
      <w:r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Pr>
          <w:rStyle w:val="Emphasis"/>
          <w:rFonts w:eastAsia="新細明體"/>
          <w:b/>
          <w:i w:val="0"/>
          <w:sz w:val="22"/>
          <w:lang w:eastAsia="zh-TW"/>
        </w:rPr>
        <w:t xml:space="preserve">February </w:t>
      </w:r>
      <w:r w:rsidR="00386F79" w:rsidRPr="00A41770">
        <w:rPr>
          <w:rStyle w:val="Emphasis"/>
          <w:b/>
          <w:i w:val="0"/>
          <w:sz w:val="22"/>
        </w:rPr>
        <w:t xml:space="preserve">– </w:t>
      </w:r>
      <w:r>
        <w:rPr>
          <w:rStyle w:val="Emphasis"/>
          <w:rFonts w:eastAsiaTheme="minorEastAsia"/>
          <w:b/>
          <w:i w:val="0"/>
          <w:sz w:val="22"/>
          <w:lang w:eastAsia="zh-TW"/>
        </w:rPr>
        <w:t>1</w:t>
      </w:r>
      <w:r w:rsidRPr="00B33BFF">
        <w:rPr>
          <w:rStyle w:val="Emphasis"/>
          <w:rFonts w:eastAsiaTheme="minorEastAsia"/>
          <w:b/>
          <w:i w:val="0"/>
          <w:sz w:val="22"/>
          <w:vertAlign w:val="superscript"/>
          <w:lang w:eastAsia="zh-TW"/>
        </w:rPr>
        <w:t>st</w:t>
      </w:r>
      <w:r w:rsidR="00386F79">
        <w:rPr>
          <w:rStyle w:val="Emphasis"/>
          <w:rFonts w:eastAsia="新細明體"/>
          <w:b/>
          <w:i w:val="0"/>
          <w:sz w:val="22"/>
          <w:vertAlign w:val="superscript"/>
          <w:lang w:eastAsia="zh-TW"/>
        </w:rPr>
        <w:t xml:space="preserve"> </w:t>
      </w:r>
      <w:r>
        <w:rPr>
          <w:rStyle w:val="Emphasis"/>
          <w:rFonts w:eastAsia="新細明體"/>
          <w:b/>
          <w:i w:val="0"/>
          <w:sz w:val="22"/>
          <w:lang w:eastAsia="zh-TW"/>
        </w:rPr>
        <w:t>March</w:t>
      </w:r>
      <w:r w:rsidR="00CA6A85">
        <w:rPr>
          <w:rStyle w:val="Emphasis"/>
          <w:rFonts w:eastAsia="新細明體"/>
          <w:b/>
          <w:i w:val="0"/>
          <w:sz w:val="22"/>
          <w:lang w:eastAsia="zh-TW"/>
        </w:rPr>
        <w:t>, 2019</w:t>
      </w:r>
    </w:p>
    <w:p w14:paraId="2B3579E4"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2.4.1.4</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5DD79D24"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r w:rsidR="00397EEE">
        <w:rPr>
          <w:rStyle w:val="Emphasis"/>
          <w:rFonts w:eastAsiaTheme="minorEastAsia"/>
          <w:b/>
          <w:i w:val="0"/>
          <w:sz w:val="22"/>
          <w:lang w:eastAsia="zh-TW"/>
        </w:rPr>
        <w:t xml:space="preserve"> m</w:t>
      </w:r>
      <w:r w:rsidR="0087412B">
        <w:rPr>
          <w:rStyle w:val="Emphasis"/>
          <w:rFonts w:eastAsiaTheme="minorEastAsia"/>
          <w:b/>
          <w:i w:val="0"/>
          <w:sz w:val="22"/>
          <w:lang w:eastAsia="zh-TW"/>
        </w:rPr>
        <w:t>echanism</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1C9F0773" w14:textId="6389CC53" w:rsidR="00B33BFF" w:rsidRDefault="00B33BFF" w:rsidP="00B33BFF">
      <w:pPr>
        <w:rPr>
          <w:rFonts w:eastAsia="新細明體"/>
          <w:lang w:val="en-GB" w:eastAsia="zh-TW"/>
        </w:rPr>
      </w:pPr>
      <w:r w:rsidRPr="00F05C2B">
        <w:rPr>
          <w:rFonts w:eastAsia="新細明體"/>
          <w:lang w:val="en-GB" w:eastAsia="zh-TW"/>
        </w:rPr>
        <w:t>In R</w:t>
      </w:r>
      <w:r>
        <w:rPr>
          <w:rFonts w:eastAsia="新細明體"/>
          <w:lang w:val="en-GB" w:eastAsia="zh-TW"/>
        </w:rPr>
        <w:t>AN1 AH#1901</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w:t>
      </w:r>
      <w:r w:rsidR="001F458E">
        <w:rPr>
          <w:rFonts w:eastAsia="新細明體"/>
          <w:lang w:val="en-GB" w:eastAsia="zh-TW"/>
        </w:rPr>
        <w:t>1</w:t>
      </w:r>
      <w:r>
        <w:rPr>
          <w:rFonts w:eastAsia="新細明體"/>
          <w:lang w:val="en-GB" w:eastAsia="zh-TW"/>
        </w:rPr>
        <w:t>]</w:t>
      </w:r>
      <w:r w:rsidRPr="00F05C2B">
        <w:rPr>
          <w:rFonts w:eastAsia="新細明體"/>
          <w:lang w:val="en-GB" w:eastAsia="zh-TW"/>
        </w:rPr>
        <w:t>:</w:t>
      </w:r>
    </w:p>
    <w:p w14:paraId="622E04CD" w14:textId="1BED99F3" w:rsidR="00B33BFF" w:rsidRPr="00EA3A5C" w:rsidRDefault="00B33BFF" w:rsidP="00B33BFF">
      <w:pPr>
        <w:rPr>
          <w:lang w:eastAsia="x-none"/>
        </w:rPr>
      </w:pPr>
      <w:r w:rsidRPr="00EA3A5C">
        <w:rPr>
          <w:highlight w:val="green"/>
          <w:lang w:eastAsia="x-none"/>
        </w:rPr>
        <w:t>Agreements</w:t>
      </w:r>
      <w:r w:rsidRPr="00EA3A5C">
        <w:rPr>
          <w:lang w:eastAsia="x-none"/>
        </w:rPr>
        <w:t>:</w:t>
      </w:r>
    </w:p>
    <w:p w14:paraId="1A7B148D" w14:textId="77777777" w:rsidR="00B33BFF" w:rsidRPr="00EA3A5C" w:rsidRDefault="00B33BFF" w:rsidP="00B33BFF">
      <w:pPr>
        <w:pStyle w:val="3GPPAgreements"/>
        <w:rPr>
          <w:sz w:val="20"/>
        </w:rPr>
      </w:pPr>
      <w:r w:rsidRPr="00EA3A5C">
        <w:rPr>
          <w:sz w:val="20"/>
        </w:rPr>
        <w:t xml:space="preserve">Mode-2 supports the sensing and resource (re)-selection procedures according to the previously agreed definitions. </w:t>
      </w:r>
    </w:p>
    <w:p w14:paraId="7ED02429" w14:textId="77777777" w:rsidR="00B33BFF" w:rsidRPr="00EA3A5C" w:rsidRDefault="00B33BFF" w:rsidP="00B33BFF">
      <w:pPr>
        <w:pStyle w:val="3GPPAgreements"/>
        <w:numPr>
          <w:ilvl w:val="2"/>
          <w:numId w:val="7"/>
        </w:numPr>
        <w:rPr>
          <w:sz w:val="20"/>
        </w:rPr>
      </w:pPr>
      <w:r w:rsidRPr="00EA3A5C">
        <w:rPr>
          <w:sz w:val="20"/>
        </w:rPr>
        <w:t>FFS resource granularity for sensing &amp; resource (re)-selection, e.g., PRB(s), slots, resource patterns (when applicable), etc.</w:t>
      </w:r>
    </w:p>
    <w:p w14:paraId="120828EA" w14:textId="77777777" w:rsidR="00B33BFF" w:rsidRPr="00EA3A5C" w:rsidRDefault="00B33BFF" w:rsidP="00B33BFF">
      <w:pPr>
        <w:pStyle w:val="3GPPAgreements"/>
        <w:numPr>
          <w:ilvl w:val="2"/>
          <w:numId w:val="7"/>
        </w:numPr>
        <w:rPr>
          <w:sz w:val="20"/>
        </w:rPr>
      </w:pPr>
      <w:r w:rsidRPr="00EA3A5C">
        <w:rPr>
          <w:sz w:val="20"/>
        </w:rPr>
        <w:t>FFS detailed conditions when these procedures can apply</w:t>
      </w:r>
    </w:p>
    <w:p w14:paraId="1BB15DFE" w14:textId="77777777" w:rsidR="00B33BFF" w:rsidRPr="004B5EDF" w:rsidRDefault="00B33BFF" w:rsidP="00B33BFF">
      <w:pPr>
        <w:rPr>
          <w:lang w:eastAsia="x-none"/>
        </w:rPr>
      </w:pPr>
      <w:r w:rsidRPr="004B5EDF">
        <w:rPr>
          <w:highlight w:val="green"/>
          <w:lang w:eastAsia="x-none"/>
        </w:rPr>
        <w:t>Agreements</w:t>
      </w:r>
      <w:r w:rsidRPr="004B5EDF">
        <w:rPr>
          <w:lang w:eastAsia="x-none"/>
        </w:rPr>
        <w:t>:</w:t>
      </w:r>
    </w:p>
    <w:p w14:paraId="7E6F9F2E" w14:textId="77777777" w:rsidR="00B33BFF" w:rsidRPr="004B5EDF" w:rsidRDefault="00B33BFF" w:rsidP="00B33BFF">
      <w:pPr>
        <w:numPr>
          <w:ilvl w:val="0"/>
          <w:numId w:val="25"/>
        </w:numPr>
        <w:overflowPunct/>
        <w:autoSpaceDE/>
        <w:autoSpaceDN/>
        <w:adjustRightInd/>
        <w:spacing w:after="0"/>
        <w:textAlignment w:val="auto"/>
      </w:pPr>
      <w:r w:rsidRPr="004B5EDF">
        <w:t>For the purpose of performance evaluation for Mode-2(c), the following Mode-2(c) transmission pattern selection is used when a UE is configured with a pool of patterns:</w:t>
      </w:r>
    </w:p>
    <w:p w14:paraId="1B3A939C" w14:textId="77777777" w:rsidR="00B33BFF" w:rsidRPr="004B5EDF" w:rsidRDefault="00B33BFF" w:rsidP="00B33BFF">
      <w:pPr>
        <w:numPr>
          <w:ilvl w:val="1"/>
          <w:numId w:val="25"/>
        </w:numPr>
        <w:overflowPunct/>
        <w:autoSpaceDE/>
        <w:autoSpaceDN/>
        <w:adjustRightInd/>
        <w:spacing w:after="0"/>
        <w:textAlignment w:val="auto"/>
      </w:pPr>
      <w:r w:rsidRPr="004B5EDF">
        <w:t xml:space="preserve">Sensing based pattern selection (e.g. UE selects unused pattern based on sensing results) </w:t>
      </w:r>
    </w:p>
    <w:p w14:paraId="313D90BA" w14:textId="77777777" w:rsidR="00B33BFF" w:rsidRPr="004B5EDF" w:rsidRDefault="00B33BFF" w:rsidP="00B33BFF">
      <w:pPr>
        <w:numPr>
          <w:ilvl w:val="2"/>
          <w:numId w:val="25"/>
        </w:numPr>
        <w:overflowPunct/>
        <w:autoSpaceDE/>
        <w:autoSpaceDN/>
        <w:adjustRightInd/>
        <w:spacing w:after="0"/>
        <w:textAlignment w:val="auto"/>
      </w:pPr>
      <w:r w:rsidRPr="004B5EDF">
        <w:t xml:space="preserve">Additional information to assist pattern selection is not precluded, e.g., by using UE geographical location information </w:t>
      </w:r>
    </w:p>
    <w:p w14:paraId="11966C39" w14:textId="77777777" w:rsidR="00B33BFF" w:rsidRPr="008F7542" w:rsidRDefault="00B33BFF" w:rsidP="00B33BFF">
      <w:pPr>
        <w:rPr>
          <w:lang w:eastAsia="x-none"/>
        </w:rPr>
      </w:pPr>
      <w:r w:rsidRPr="008F7542">
        <w:rPr>
          <w:highlight w:val="green"/>
          <w:lang w:eastAsia="x-none"/>
        </w:rPr>
        <w:t>Agreements</w:t>
      </w:r>
      <w:r w:rsidRPr="008F7542">
        <w:rPr>
          <w:lang w:eastAsia="x-none"/>
        </w:rPr>
        <w:t>:</w:t>
      </w:r>
    </w:p>
    <w:p w14:paraId="52C28DBD" w14:textId="77777777" w:rsidR="00B33BFF" w:rsidRPr="008F7542" w:rsidRDefault="00B33BFF" w:rsidP="00B33BFF">
      <w:pPr>
        <w:numPr>
          <w:ilvl w:val="0"/>
          <w:numId w:val="25"/>
        </w:numPr>
        <w:overflowPunct/>
        <w:autoSpaceDE/>
        <w:autoSpaceDN/>
        <w:adjustRightInd/>
        <w:spacing w:after="0"/>
        <w:textAlignment w:val="auto"/>
        <w:rPr>
          <w:lang w:eastAsia="x-none"/>
        </w:rPr>
      </w:pPr>
      <w:r w:rsidRPr="008F7542">
        <w:rPr>
          <w:lang w:eastAsia="x-none"/>
        </w:rPr>
        <w:t>Sub-channel based resource allocation is supported for PSSCH</w:t>
      </w:r>
    </w:p>
    <w:p w14:paraId="0CC46CFF"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details for sub-channels</w:t>
      </w:r>
    </w:p>
    <w:p w14:paraId="6696243D"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other use cases for sub-channel (e.g., measurement, interaction with PSCCH, etc.)</w:t>
      </w:r>
    </w:p>
    <w:p w14:paraId="1855CD1A" w14:textId="77777777" w:rsidR="00B33BFF" w:rsidRPr="00585C12" w:rsidRDefault="00B33BFF" w:rsidP="00B33BFF">
      <w:pPr>
        <w:pStyle w:val="3GPPAgreements"/>
        <w:numPr>
          <w:ilvl w:val="0"/>
          <w:numId w:val="0"/>
        </w:numPr>
        <w:ind w:left="284" w:hanging="284"/>
        <w:rPr>
          <w:b/>
          <w:sz w:val="20"/>
        </w:rPr>
      </w:pPr>
      <w:r w:rsidRPr="00585C12">
        <w:rPr>
          <w:sz w:val="20"/>
          <w:highlight w:val="green"/>
        </w:rPr>
        <w:t>Agreements</w:t>
      </w:r>
      <w:r w:rsidRPr="00585C12">
        <w:rPr>
          <w:b/>
          <w:sz w:val="20"/>
        </w:rPr>
        <w:t>:</w:t>
      </w:r>
    </w:p>
    <w:p w14:paraId="2EAA0F3A" w14:textId="77777777" w:rsidR="00B33BFF" w:rsidRPr="00585C12" w:rsidRDefault="00B33BFF" w:rsidP="00B33BFF">
      <w:pPr>
        <w:numPr>
          <w:ilvl w:val="0"/>
          <w:numId w:val="25"/>
        </w:numPr>
        <w:overflowPunct/>
        <w:autoSpaceDE/>
        <w:autoSpaceDN/>
        <w:adjustRightInd/>
        <w:spacing w:after="0"/>
        <w:textAlignment w:val="auto"/>
      </w:pPr>
      <w:r w:rsidRPr="00585C12">
        <w:t xml:space="preserve">SCI decoding applied during sensing procedure provides at least information on sidelink resources indicated by the UE transmitting the SCI </w:t>
      </w:r>
    </w:p>
    <w:p w14:paraId="01C4F71C" w14:textId="77777777" w:rsidR="00B33BFF" w:rsidRPr="009A486E" w:rsidRDefault="00B33BFF" w:rsidP="00B33BFF">
      <w:pPr>
        <w:pStyle w:val="3GPPAgreements"/>
        <w:numPr>
          <w:ilvl w:val="0"/>
          <w:numId w:val="0"/>
        </w:numPr>
        <w:ind w:left="284" w:hanging="284"/>
        <w:rPr>
          <w:sz w:val="20"/>
        </w:rPr>
      </w:pPr>
      <w:r w:rsidRPr="009A486E">
        <w:rPr>
          <w:sz w:val="20"/>
          <w:highlight w:val="green"/>
        </w:rPr>
        <w:t>Agreements</w:t>
      </w:r>
      <w:r w:rsidRPr="009A486E">
        <w:rPr>
          <w:sz w:val="20"/>
        </w:rPr>
        <w:t>:</w:t>
      </w:r>
    </w:p>
    <w:p w14:paraId="7C48ADE8" w14:textId="77777777" w:rsidR="00B33BFF" w:rsidRPr="009A486E" w:rsidRDefault="00B33BFF" w:rsidP="00B33BFF">
      <w:pPr>
        <w:pStyle w:val="3GPPAgreements"/>
        <w:rPr>
          <w:sz w:val="20"/>
        </w:rPr>
      </w:pPr>
      <w:r w:rsidRPr="009A486E">
        <w:rPr>
          <w:sz w:val="20"/>
        </w:rPr>
        <w:t>At least for the purpose of evaluation, in Mode-2(d), at least for group operation, a member UE transmits on resources configured by another UE (S-UE) within the same group</w:t>
      </w:r>
    </w:p>
    <w:p w14:paraId="0B449B17" w14:textId="77777777" w:rsidR="00B33BFF" w:rsidRPr="009A486E" w:rsidRDefault="00B33BFF" w:rsidP="00B33BFF">
      <w:pPr>
        <w:pStyle w:val="3GPPAgreements"/>
        <w:numPr>
          <w:ilvl w:val="1"/>
          <w:numId w:val="7"/>
        </w:numPr>
        <w:rPr>
          <w:sz w:val="20"/>
        </w:rPr>
      </w:pPr>
      <w:r w:rsidRPr="009A486E">
        <w:rPr>
          <w:sz w:val="20"/>
        </w:rPr>
        <w:t>High layer signaling is assumed between S-UE and a member UE</w:t>
      </w:r>
    </w:p>
    <w:p w14:paraId="3CB73C67" w14:textId="77777777" w:rsidR="00ED4206" w:rsidRPr="00B33BFF" w:rsidRDefault="00ED4206" w:rsidP="00DC0384">
      <w:pPr>
        <w:jc w:val="both"/>
        <w:rPr>
          <w:rFonts w:eastAsiaTheme="minorEastAsia"/>
          <w:lang w:eastAsia="zh-TW"/>
        </w:rPr>
      </w:pPr>
    </w:p>
    <w:p w14:paraId="44405258" w14:textId="77777777"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 resource allocation mechanism</w:t>
      </w:r>
      <w:r w:rsidR="00CB4D89">
        <w:rPr>
          <w:rFonts w:eastAsiaTheme="minorEastAsia"/>
          <w:lang w:val="en-GB" w:eastAsia="zh-TW"/>
        </w:rPr>
        <w:t>s</w:t>
      </w:r>
      <w:r w:rsidR="0089044D">
        <w:rPr>
          <w:rFonts w:eastAsiaTheme="minorEastAsia"/>
          <w:lang w:val="en-GB" w:eastAsia="zh-TW"/>
        </w:rPr>
        <w:t>.</w:t>
      </w:r>
    </w:p>
    <w:p w14:paraId="72A3DCD5" w14:textId="77777777" w:rsidR="00824339" w:rsidRDefault="00824339" w:rsidP="00410E12">
      <w:pPr>
        <w:pStyle w:val="Heading1"/>
        <w:rPr>
          <w:lang w:eastAsia="zh-TW"/>
        </w:rPr>
      </w:pPr>
      <w:r>
        <w:rPr>
          <w:lang w:eastAsia="zh-TW"/>
        </w:rPr>
        <w:t>Discussion</w:t>
      </w:r>
      <w:r w:rsidR="00BC6E03">
        <w:rPr>
          <w:lang w:eastAsia="zh-TW"/>
        </w:rPr>
        <w:t xml:space="preserve"> on Mode 2</w:t>
      </w:r>
    </w:p>
    <w:p w14:paraId="135BDE41" w14:textId="69810C58" w:rsidR="00BC6E03" w:rsidRDefault="00550C6E" w:rsidP="00BC6E03">
      <w:pPr>
        <w:jc w:val="both"/>
      </w:pPr>
      <w:r>
        <w:t xml:space="preserve">It was agreed that at least two resource allocation modes, Mode 1 and Mode 2, </w:t>
      </w:r>
      <w:r w:rsidR="00077A8B">
        <w:t>are</w:t>
      </w:r>
      <w:r>
        <w:t xml:space="preserve"> considered in NR V2X. In Mode 1, </w:t>
      </w:r>
      <w:r w:rsidR="00BC6E03">
        <w:t xml:space="preserve">base station </w:t>
      </w:r>
      <w:r w:rsidR="00BC6E03" w:rsidRPr="00255F39">
        <w:t xml:space="preserve">schedules sidelink </w:t>
      </w:r>
      <w:r w:rsidR="00BC6E03" w:rsidRPr="00255F39">
        <w:rPr>
          <w:rFonts w:hint="eastAsia"/>
        </w:rPr>
        <w:t>resource</w:t>
      </w:r>
      <w:r w:rsidR="00BC6E03" w:rsidRPr="00255F39">
        <w:t xml:space="preserve"> to be used by UE for sidelink transmission</w:t>
      </w:r>
      <w:r w:rsidR="00BC6E03">
        <w:t xml:space="preserve">, which can be regarded as centralized scheduling method. In Mode 2, </w:t>
      </w:r>
      <w:r w:rsidR="00BC6E03" w:rsidRPr="00255F39">
        <w:rPr>
          <w:rFonts w:hint="eastAsia"/>
        </w:rPr>
        <w:t xml:space="preserve">UE </w:t>
      </w:r>
      <w:r w:rsidR="00BC6E03" w:rsidRPr="00255F39">
        <w:t>determines sidelink transmission resource within sidelink resource configured by base station or pre-configured sidelink resources</w:t>
      </w:r>
      <w:r w:rsidR="00BC6E03">
        <w:t xml:space="preserve">. There are four possible sub-modes in Mode 2: (a) </w:t>
      </w:r>
      <w:r w:rsidR="00BC6E03" w:rsidRPr="00255F39">
        <w:t>UE autonomously selects sidelink resource for transmission</w:t>
      </w:r>
      <w:r w:rsidR="00BC6E03">
        <w:t xml:space="preserve">, (b) </w:t>
      </w:r>
      <w:r w:rsidR="00BC6E03" w:rsidRPr="00255F39">
        <w:t>UE assists sidelink resource selection for other UE</w:t>
      </w:r>
      <w:r w:rsidR="00BC6E03">
        <w:t xml:space="preserve">s, (c) </w:t>
      </w:r>
      <w:r w:rsidR="00BC6E03" w:rsidRPr="00255F39">
        <w:t>UE is configured with NR configured grant for sidelink transmission</w:t>
      </w:r>
      <w:r w:rsidR="00BC6E03">
        <w:t xml:space="preserve">, and (d) </w:t>
      </w:r>
      <w:r w:rsidR="00BC6E03" w:rsidRPr="00255F39">
        <w:t>UE schedules sidelink transmissions of other UEs</w:t>
      </w:r>
      <w:r w:rsidR="00BC6E03">
        <w:t>.</w:t>
      </w:r>
      <w:r w:rsidR="00B83FD0">
        <w:t xml:space="preserve"> Mode 2(b)</w:t>
      </w:r>
      <w:r w:rsidR="00BC6E03">
        <w:t xml:space="preserve"> </w:t>
      </w:r>
      <w:r w:rsidR="00B83FD0">
        <w:t xml:space="preserve">was agreed </w:t>
      </w:r>
      <w:r w:rsidR="00B83FD0">
        <w:lastRenderedPageBreak/>
        <w:t xml:space="preserve">as not a standalone mode and should be combined with other Modes. </w:t>
      </w:r>
      <w:r w:rsidR="00E24B50">
        <w:t xml:space="preserve">In the following sections, we </w:t>
      </w:r>
      <w:r w:rsidR="008C18DE">
        <w:t>will</w:t>
      </w:r>
      <w:r w:rsidR="00E24B50">
        <w:t xml:space="preserve"> discuss on</w:t>
      </w:r>
      <w:r w:rsidR="007658B0">
        <w:t xml:space="preserve"> the mechanism</w:t>
      </w:r>
      <w:r w:rsidR="001F458E">
        <w:t>s</w:t>
      </w:r>
      <w:r w:rsidR="007658B0">
        <w:t xml:space="preserve"> for</w:t>
      </w:r>
      <w:r w:rsidR="00E24B50">
        <w:t xml:space="preserve"> </w:t>
      </w:r>
      <w:r w:rsidR="00B83FD0">
        <w:t>Mode 2</w:t>
      </w:r>
      <w:r w:rsidR="00E24B50">
        <w:t>.</w:t>
      </w:r>
    </w:p>
    <w:p w14:paraId="466A154A" w14:textId="44C7C87D" w:rsidR="00BC6E03" w:rsidRDefault="00B83FD0" w:rsidP="00BC6E03">
      <w:pPr>
        <w:pStyle w:val="Heading2"/>
        <w:ind w:left="567"/>
        <w:rPr>
          <w:lang w:eastAsia="zh-TW"/>
        </w:rPr>
      </w:pPr>
      <w:r>
        <w:rPr>
          <w:lang w:eastAsia="zh-TW"/>
        </w:rPr>
        <w:t>Discussion on Mode 2</w:t>
      </w:r>
      <w:r w:rsidR="00BC6E03">
        <w:rPr>
          <w:lang w:eastAsia="zh-TW"/>
        </w:rPr>
        <w:t>(a)</w:t>
      </w:r>
    </w:p>
    <w:p w14:paraId="6A06A34C" w14:textId="77777777" w:rsidR="00B83FD0" w:rsidRDefault="00B0488D" w:rsidP="00B83FD0">
      <w:pPr>
        <w:jc w:val="both"/>
      </w:pPr>
      <w:r>
        <w:t>Mode 2</w:t>
      </w:r>
      <w:r w:rsidR="00740D68">
        <w:t xml:space="preserve">(a) </w:t>
      </w:r>
      <w:r>
        <w:t xml:space="preserve">is UE autonomously selects sidelink resource for transmission. </w:t>
      </w:r>
    </w:p>
    <w:p w14:paraId="5887AA46" w14:textId="1BB38BC1" w:rsidR="00B83FD0" w:rsidRDefault="00B83FD0" w:rsidP="00B83FD0">
      <w:pPr>
        <w:jc w:val="both"/>
      </w:pPr>
      <w:r>
        <w:t>In LTE V2X, semi-static sensing results are used for identifying the occupied sidelink resources for periodic traffic with same packet size. However, NR V2X advanced safety messages can be aperiodic and have varying packet sizes. Therefore, a new sensing method should be introduced in NR V2X.</w:t>
      </w:r>
    </w:p>
    <w:p w14:paraId="686F0A5C" w14:textId="2F83A459" w:rsidR="00036DCC" w:rsidRDefault="00B83FD0" w:rsidP="00AA6DF3">
      <w:pPr>
        <w:jc w:val="both"/>
      </w:pPr>
      <w:r>
        <w:t xml:space="preserve">For resource pool configuration, we assume LTE V2X </w:t>
      </w:r>
      <w:proofErr w:type="spellStart"/>
      <w:r>
        <w:t>subchannel</w:t>
      </w:r>
      <w:proofErr w:type="spellEnd"/>
      <w:r>
        <w:t xml:space="preserve"> concepts can be brought into NR V2X. </w:t>
      </w:r>
      <w:r w:rsidR="00CE5C4C">
        <w:t>The resource granularity in frequency-domain is one</w:t>
      </w:r>
      <w:r w:rsidR="00036DCC">
        <w:t xml:space="preserve"> </w:t>
      </w:r>
      <w:proofErr w:type="spellStart"/>
      <w:r w:rsidR="00036DCC">
        <w:t>subchannel</w:t>
      </w:r>
      <w:proofErr w:type="spellEnd"/>
      <w:r w:rsidR="00CE5C4C">
        <w:t>, which</w:t>
      </w:r>
      <w:r w:rsidR="00036DCC">
        <w:t xml:space="preserve"> consists of </w:t>
      </w:r>
      <w:r w:rsidR="00036DCC" w:rsidRPr="00036DCC">
        <w:rPr>
          <w:i/>
        </w:rPr>
        <w:t>N</w:t>
      </w:r>
      <w:r w:rsidR="00036DCC">
        <w:t xml:space="preserve"> RBs and </w:t>
      </w:r>
      <w:r w:rsidR="00036DCC" w:rsidRPr="00036DCC">
        <w:rPr>
          <w:i/>
        </w:rPr>
        <w:t>N</w:t>
      </w:r>
      <w:r w:rsidR="00036DCC">
        <w:t xml:space="preserve"> can be configured by </w:t>
      </w:r>
      <w:proofErr w:type="spellStart"/>
      <w:r w:rsidR="00036DCC">
        <w:t>gNB</w:t>
      </w:r>
      <w:proofErr w:type="spellEnd"/>
      <w:r w:rsidR="00036DCC">
        <w:t xml:space="preserve"> or preconfigured. </w:t>
      </w:r>
      <w:r w:rsidR="00CE5C4C">
        <w:t>The resource granularity in time-domain can be one OFDM symbol or one slot.</w:t>
      </w:r>
    </w:p>
    <w:p w14:paraId="581C6649" w14:textId="6844B69B" w:rsidR="00036DCC" w:rsidRDefault="00036DCC" w:rsidP="00AA6DF3">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r w:rsidR="00CE5C4C">
        <w:t xml:space="preserve">Resource granularity for sensing and resource selection is one </w:t>
      </w:r>
      <w:proofErr w:type="spellStart"/>
      <w:r w:rsidR="00CE5C4C">
        <w:t>subchannel</w:t>
      </w:r>
      <w:proofErr w:type="spellEnd"/>
      <w:r w:rsidR="00CE5C4C">
        <w:t xml:space="preserve"> in frequency-domain and one OFDM symbol or one slot in-time domain. </w:t>
      </w:r>
    </w:p>
    <w:p w14:paraId="6EBFA221" w14:textId="06ED4929" w:rsidR="00B0488D" w:rsidRDefault="00B83FD0" w:rsidP="00AA6DF3">
      <w:pPr>
        <w:jc w:val="both"/>
      </w:pPr>
      <w:r>
        <w:t>The NR V2X advanced safety messages might be aperiodic, periodic, of fixed packet sizes, or of varying packet sizes. If resource pools are independent for periodic and aperiodic traffics, LTE V2X semi-static sensing method can be reused for periodic traffics in NR V2X and a new sensing method would be designed for aperiodic traffics in NR V2X. On the other hand, if resource pools are shared for periodic and aperiodic traffics, a new unified sensing method should be designed for NR V2X.</w:t>
      </w:r>
    </w:p>
    <w:p w14:paraId="48BBBB8E" w14:textId="7F82F80C" w:rsidR="00B0488D" w:rsidRDefault="00B83FD0" w:rsidP="00A91743">
      <w:pPr>
        <w:pStyle w:val="Heading3"/>
      </w:pPr>
      <w:r>
        <w:t>Sensing procedure</w:t>
      </w:r>
    </w:p>
    <w:p w14:paraId="0B3F45FE" w14:textId="6136B551" w:rsidR="00B0488D" w:rsidRDefault="009B727B" w:rsidP="00AA6DF3">
      <w:pPr>
        <w:jc w:val="both"/>
      </w:pPr>
      <w:r>
        <w:t>In LTE V2X, sidelink measurements, decoded information</w:t>
      </w:r>
      <w:r w:rsidR="00B0488D">
        <w:t xml:space="preserve"> of sidelink control channel</w:t>
      </w:r>
      <w:r>
        <w:t xml:space="preserve">, and detection of sidelink transmissions are used for identifying occupied resources. In NR V2X, similar concepts can be applied with modifications. </w:t>
      </w:r>
    </w:p>
    <w:p w14:paraId="09EE69A7" w14:textId="502F93F3" w:rsidR="009B727B" w:rsidRDefault="00480D0E" w:rsidP="00AA6DF3">
      <w:pPr>
        <w:jc w:val="both"/>
      </w:pPr>
      <w:r>
        <w:t>Information extracted from SCI</w:t>
      </w:r>
      <w:r w:rsidR="009B727B">
        <w:t xml:space="preserve"> </w:t>
      </w:r>
      <w:r>
        <w:t xml:space="preserve">decoding </w:t>
      </w:r>
      <w:r w:rsidR="009B727B">
        <w:t xml:space="preserve">should include </w:t>
      </w:r>
      <w:r>
        <w:t xml:space="preserve">time/frequency </w:t>
      </w:r>
      <w:r w:rsidR="009B727B">
        <w:t>resource allocation</w:t>
      </w:r>
      <w:r>
        <w:t>,</w:t>
      </w:r>
      <w:r w:rsidR="009B727B">
        <w:t xml:space="preserve"> </w:t>
      </w:r>
      <w:r>
        <w:t>resource reservation, and priority of packet.</w:t>
      </w:r>
    </w:p>
    <w:p w14:paraId="6BA8A25D" w14:textId="77777777" w:rsidR="00480D0E" w:rsidRDefault="00480D0E" w:rsidP="00480D0E">
      <w:pPr>
        <w:jc w:val="both"/>
      </w:pPr>
      <w:r>
        <w:t xml:space="preserve">For sidelink measurements, semi-static/long term sensing as LTE V2X can be reused and a new short term sensing method should be introduced. </w:t>
      </w:r>
    </w:p>
    <w:p w14:paraId="1A57D7A7" w14:textId="77777777" w:rsidR="009B727B" w:rsidRDefault="009B727B" w:rsidP="00AA6DF3">
      <w:pPr>
        <w:jc w:val="both"/>
      </w:pPr>
      <w:r>
        <w:t>For detection of sidelink transmissions, LTE V2X mechanism can be reused.</w:t>
      </w:r>
    </w:p>
    <w:p w14:paraId="7D8E8C7A" w14:textId="79737A71" w:rsidR="00CE5C4C" w:rsidRDefault="00CE5C4C" w:rsidP="00AA6DF3">
      <w:pPr>
        <w:jc w:val="both"/>
      </w:pPr>
      <w:r>
        <w:t xml:space="preserve">If all SCIs can be decoded by UE in each slot, UE would have whole resource allocation information of current slot and resource reservation information of future slots. However, it depends on UE capability. In LTE V2X, most 20 blind </w:t>
      </w:r>
      <w:proofErr w:type="spellStart"/>
      <w:r>
        <w:t>decodings</w:t>
      </w:r>
      <w:proofErr w:type="spellEnd"/>
      <w:r>
        <w:t xml:space="preserve"> are defined. If UE cannot decode all SCIs in one slot, sidelink measurement and detection of sidelink transmissions should be considered to provide assistance information for sensing. Since the complexity of sidelink measurement or detection is much lower than that of SCI decoding.</w:t>
      </w:r>
    </w:p>
    <w:p w14:paraId="36F8ED0C" w14:textId="39B23136" w:rsidR="009B727B" w:rsidRDefault="009B727B" w:rsidP="00AA6DF3">
      <w:pPr>
        <w:jc w:val="both"/>
      </w:pPr>
      <w:r w:rsidRPr="00B0488D">
        <w:rPr>
          <w:rFonts w:eastAsia="新細明體"/>
          <w:b/>
          <w:u w:val="single"/>
          <w:lang w:eastAsia="zh-TW"/>
        </w:rPr>
        <w:t xml:space="preserve">Proposal </w:t>
      </w:r>
      <w:r w:rsidR="00CE5C4C">
        <w:rPr>
          <w:rFonts w:eastAsia="新細明體"/>
          <w:b/>
          <w:u w:val="single"/>
          <w:lang w:eastAsia="zh-TW"/>
        </w:rPr>
        <w:t>2</w:t>
      </w:r>
      <w:r w:rsidRPr="00B0488D">
        <w:t xml:space="preserve">: </w:t>
      </w:r>
      <w:r>
        <w:t>Long term and short term sensing methods, decoded resource allocation and resource reservation information in control channel, as well as detection of sidelink transmissions should be introduced in NR V2X.</w:t>
      </w:r>
    </w:p>
    <w:p w14:paraId="5E2D36E9" w14:textId="637D3F14" w:rsidR="00CE5C4C" w:rsidRDefault="00CE5C4C" w:rsidP="00AA6DF3">
      <w:pPr>
        <w:jc w:val="both"/>
      </w:pPr>
      <w:r>
        <w:t>In LTE V2X, linear average of S-RSSI is measured over the monitored subframes. However, the environment of V2X is very dynamic. Some UEs would join and some UEs would leave</w:t>
      </w:r>
      <w:r w:rsidRPr="00CE5C4C">
        <w:t xml:space="preserve"> </w:t>
      </w:r>
      <w:r>
        <w:t>V2X communications</w:t>
      </w:r>
      <w:r>
        <w:t xml:space="preserve">. Linear average operation can be considered to enhance as weighted average operation. Up-to-date subframes/slots have larger weight to reflect the resource information is more informative. </w:t>
      </w:r>
    </w:p>
    <w:p w14:paraId="63C4BCBB" w14:textId="096A926E" w:rsidR="00CE5C4C" w:rsidRDefault="00CE5C4C" w:rsidP="00AA6DF3">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t xml:space="preserve">One weighting function can be introduced for averaging S-RSSI in sidelink measurement process. </w:t>
      </w:r>
    </w:p>
    <w:p w14:paraId="06AAB4DD" w14:textId="5E5396F8" w:rsidR="00550C6E" w:rsidRDefault="00480D0E" w:rsidP="00A91743">
      <w:pPr>
        <w:pStyle w:val="Heading3"/>
      </w:pPr>
      <w:r>
        <w:lastRenderedPageBreak/>
        <w:t>R</w:t>
      </w:r>
      <w:r w:rsidR="00B0488D">
        <w:t>esource selection</w:t>
      </w:r>
      <w:r>
        <w:t xml:space="preserve"> procedure</w:t>
      </w:r>
    </w:p>
    <w:p w14:paraId="5DE92B0B" w14:textId="5D963905" w:rsidR="009B727B" w:rsidRDefault="009B727B" w:rsidP="00AA6DF3">
      <w:pPr>
        <w:jc w:val="both"/>
      </w:pPr>
      <w:r>
        <w:t xml:space="preserve">In Mode 2(a), a UE can identify the occupied resource by the </w:t>
      </w:r>
      <w:r w:rsidR="00480D0E">
        <w:t xml:space="preserve">sensing procedure </w:t>
      </w:r>
      <w:r>
        <w:t xml:space="preserve">and then </w:t>
      </w:r>
      <w:r w:rsidR="008C18DE">
        <w:t>choose all or part</w:t>
      </w:r>
      <w:r>
        <w:t xml:space="preserve"> available resources can fit to the size of SCI and data payloads and pass the information to MAC </w:t>
      </w:r>
      <w:r w:rsidR="00480D0E">
        <w:t>layer to do resource selection. One of NR V2X requirement is to support high connection density for congested traffic [2]. One example for worst case is 3100 to 4300 cars per square kilometer. The connection density in NR V2X is higher than that in LTE V2X and thus LTE V2X resource selection method should be modified.</w:t>
      </w:r>
    </w:p>
    <w:p w14:paraId="696833C0" w14:textId="5E5E2F6E" w:rsidR="00480D0E" w:rsidRDefault="00480D0E" w:rsidP="00AA6DF3">
      <w:pPr>
        <w:jc w:val="both"/>
      </w:pPr>
      <w:r>
        <w:t>IBE (In-Band Emission)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 One method to alleviate IBE problem is to allocate adjacent resource for two nearby UEs. Therefore, one weighting function can be provided with available resources and send to MAC layer. Higher weight is assigned to the resource near the occupied resource with smaller RSRP difference between UE and occupied resource.</w:t>
      </w:r>
    </w:p>
    <w:p w14:paraId="5A6A8BBC" w14:textId="4AFA25EB" w:rsidR="00480D0E" w:rsidRDefault="00480D0E" w:rsidP="00AA6DF3">
      <w:pPr>
        <w:jc w:val="both"/>
      </w:pPr>
      <w:r w:rsidRPr="00B0488D">
        <w:rPr>
          <w:rFonts w:eastAsia="新細明體"/>
          <w:b/>
          <w:u w:val="single"/>
          <w:lang w:eastAsia="zh-TW"/>
        </w:rPr>
        <w:t xml:space="preserve">Proposal </w:t>
      </w:r>
      <w:r w:rsidR="00CE5C4C">
        <w:rPr>
          <w:rFonts w:eastAsia="新細明體"/>
          <w:b/>
          <w:u w:val="single"/>
          <w:lang w:eastAsia="zh-TW"/>
        </w:rPr>
        <w:t>4</w:t>
      </w:r>
      <w:r w:rsidRPr="00B0488D">
        <w:t xml:space="preserve">: </w:t>
      </w:r>
      <w:r>
        <w:t xml:space="preserve">To alleviate IBE problem, two nearby UEs’ resources can be allocated adjacently. One weighting function can be introduced to resource selection </w:t>
      </w:r>
      <w:r w:rsidR="00A74F47">
        <w:t xml:space="preserve">procedure </w:t>
      </w:r>
      <w:r>
        <w:t>to indicate RSRP difference between UE and occupied resource.</w:t>
      </w:r>
    </w:p>
    <w:p w14:paraId="68A17BB8" w14:textId="77777777" w:rsidR="00BC6E03" w:rsidRDefault="00BC6E03" w:rsidP="00BC6E03">
      <w:pPr>
        <w:pStyle w:val="Heading2"/>
        <w:ind w:left="709" w:hanging="709"/>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configured grant for sidelink transmission</w:t>
      </w:r>
      <w:r>
        <w:t xml:space="preserve">. It is more suitable for </w:t>
      </w:r>
      <w:r w:rsidR="00BC6E03">
        <w:t xml:space="preserve">periodic </w:t>
      </w:r>
      <w:r>
        <w:t xml:space="preserve">data transmission with short latency and low overhead. </w:t>
      </w:r>
    </w:p>
    <w:p w14:paraId="329560C7" w14:textId="77777777" w:rsidR="009F2332" w:rsidRDefault="009F2332" w:rsidP="009F2332">
      <w:pPr>
        <w:jc w:val="both"/>
      </w:pPr>
      <w:r>
        <w:t xml:space="preserve">If UE is in coverage, the configured resource can be semi-statically assigned by </w:t>
      </w:r>
      <w:proofErr w:type="spellStart"/>
      <w:r>
        <w:t>gNB</w:t>
      </w:r>
      <w:proofErr w:type="spellEnd"/>
      <w:r>
        <w:t xml:space="preserve"> and collision of resources with other UEs can be avoided by </w:t>
      </w:r>
      <w:proofErr w:type="spellStart"/>
      <w:r>
        <w:t>gNB</w:t>
      </w:r>
      <w:proofErr w:type="spellEnd"/>
      <w:r>
        <w:t xml:space="preserve"> scheduling. However, this scenario can be regarded as Mode 1. </w:t>
      </w:r>
    </w:p>
    <w:p w14:paraId="1ECCBF59" w14:textId="3F991046" w:rsidR="00937E0F" w:rsidRDefault="009F2332" w:rsidP="00BC6E03">
      <w:pPr>
        <w:jc w:val="both"/>
      </w:pPr>
      <w:r>
        <w:t>If UE is out of coverage, the resource should be pre-configured.</w:t>
      </w:r>
      <w:r w:rsidR="005516BE">
        <w:t xml:space="preserve"> I</w:t>
      </w:r>
      <w:r>
        <w:t xml:space="preserve">t is inevitable that two UEs might select the same preconfigured resource and collision would happen for a long duration. To reduce the collision probability, Mode 2(c) needs a lot of resource patterns. If there are M resource patterns and the UE does not perform sensing to choose the resource pattern randomly, the collision probability of two UE is about 1/M when the resource is not crowded. Collision probability is lower with higher M.  If there are not a lot traffic or the transmission period is much larger than the period of preconfigured resource pattern, the reserved resource (patterns) would be wasted and results in low resource utilization efficiency. Moreover, the collision probability is not inversely proportional to M and would be very high, if the UE is in congested traffic. Therefore, sensing is needed for Mode 2(c). </w:t>
      </w:r>
      <w:r w:rsidR="00937E0F">
        <w:t xml:space="preserve">This </w:t>
      </w:r>
      <w:r w:rsidR="00DF4C9F">
        <w:t xml:space="preserve">case can be regarded as </w:t>
      </w:r>
      <w:r w:rsidR="00937E0F">
        <w:t>Mode 2(a)</w:t>
      </w:r>
      <w:r>
        <w:t xml:space="preserve"> with preconfigured resource pools</w:t>
      </w:r>
      <w:r w:rsidR="00937E0F">
        <w:t xml:space="preserve">. </w:t>
      </w:r>
      <w:r w:rsidR="005516BE">
        <w:t>We propose Mode 2(c) should not be standalone.</w:t>
      </w:r>
    </w:p>
    <w:p w14:paraId="55F14E52" w14:textId="45A0B997" w:rsidR="00BC6E03" w:rsidRDefault="00BC6E03" w:rsidP="00BC6E03">
      <w:pPr>
        <w:jc w:val="both"/>
        <w:rPr>
          <w:rFonts w:eastAsiaTheme="minorEastAsia"/>
          <w:lang w:val="en-GB" w:eastAsia="zh-TW"/>
        </w:rPr>
      </w:pPr>
      <w:r>
        <w:rPr>
          <w:rFonts w:eastAsia="新細明體"/>
          <w:b/>
          <w:u w:val="single"/>
          <w:lang w:eastAsia="zh-TW"/>
        </w:rPr>
        <w:t xml:space="preserve">Proposal </w:t>
      </w:r>
      <w:r w:rsidR="00CE5C4C">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w:t>
      </w:r>
      <w:r w:rsidR="00B12153">
        <w:rPr>
          <w:rFonts w:eastAsiaTheme="minorEastAsia"/>
          <w:lang w:val="en-GB" w:eastAsia="zh-TW"/>
        </w:rPr>
        <w:t xml:space="preserve">Mode 2(c) </w:t>
      </w:r>
      <w:r w:rsidR="005516BE">
        <w:rPr>
          <w:rFonts w:eastAsiaTheme="minorEastAsia"/>
          <w:lang w:val="en-GB" w:eastAsia="zh-TW"/>
        </w:rPr>
        <w:t>should not be standalone and can be considered as functionality of Mode 2(a).</w:t>
      </w:r>
      <w:r w:rsidR="00B12153">
        <w:rPr>
          <w:rFonts w:eastAsiaTheme="minorEastAsia"/>
          <w:lang w:val="en-GB" w:eastAsia="zh-TW"/>
        </w:rPr>
        <w:t xml:space="preserve"> </w:t>
      </w:r>
    </w:p>
    <w:p w14:paraId="26D36102" w14:textId="477E58C2" w:rsidR="008138AD" w:rsidRDefault="008138AD" w:rsidP="008138AD">
      <w:pPr>
        <w:pStyle w:val="Heading2"/>
        <w:ind w:left="709" w:hanging="709"/>
        <w:rPr>
          <w:lang w:eastAsia="zh-TW"/>
        </w:rPr>
      </w:pPr>
      <w:r>
        <w:rPr>
          <w:lang w:eastAsia="zh-TW"/>
        </w:rPr>
        <w:t>Discussion on Mode 2(d)</w:t>
      </w:r>
    </w:p>
    <w:p w14:paraId="7FB5A1AF" w14:textId="56DB3208" w:rsidR="00AA723B" w:rsidRDefault="00E80BA7" w:rsidP="00AA723B">
      <w:pPr>
        <w:jc w:val="both"/>
      </w:pPr>
      <w:r>
        <w:t>In Mode 2(d), s</w:t>
      </w:r>
      <w:r w:rsidR="00AA723B">
        <w:t xml:space="preserve">everal UEs can be grouped into </w:t>
      </w:r>
      <w:r>
        <w:t>a</w:t>
      </w:r>
      <w:r w:rsidR="00AA723B">
        <w:t xml:space="preserve"> cluster and </w:t>
      </w:r>
      <w:r>
        <w:t xml:space="preserve">a </w:t>
      </w:r>
      <w:r w:rsidR="001D1307">
        <w:t>scheduling</w:t>
      </w:r>
      <w:r>
        <w:t xml:space="preserve"> UE </w:t>
      </w:r>
      <w:r w:rsidR="00AA723B">
        <w:t xml:space="preserve">can request or reserve a </w:t>
      </w:r>
      <w:r w:rsidR="00160D6C">
        <w:t>resource pool</w:t>
      </w:r>
      <w:r w:rsidR="00AA723B">
        <w:t xml:space="preserve"> from </w:t>
      </w:r>
      <w:proofErr w:type="spellStart"/>
      <w:r w:rsidR="00AA723B">
        <w:t>gNB</w:t>
      </w:r>
      <w:proofErr w:type="spellEnd"/>
      <w:r w:rsidR="00AA723B">
        <w:t xml:space="preserve"> and then schedule to UEs based on the scheduling request from UEs. When compared with Mode 1, </w:t>
      </w:r>
      <w:r w:rsidR="001D1307">
        <w:t>scheduling</w:t>
      </w:r>
      <w:r>
        <w:t xml:space="preserve"> UE </w:t>
      </w:r>
      <w:r w:rsidR="00AA723B">
        <w:t xml:space="preserve">can sense the resource utilization condition of local area and have better resource utilization knowledge than base station. </w:t>
      </w:r>
      <w:r w:rsidR="001D1307">
        <w:t>Note that we assume base station has a lager coverage than scheduling UE.</w:t>
      </w:r>
      <w:r w:rsidR="00AA723B">
        <w:t xml:space="preserve"> Of course, </w:t>
      </w:r>
      <w:r w:rsidR="001D1307">
        <w:t>scheduling</w:t>
      </w:r>
      <w:r>
        <w:t xml:space="preserve"> UE </w:t>
      </w:r>
      <w:r w:rsidR="00AA723B">
        <w:t xml:space="preserve">or base station can also collect the sensing results from UEs to assist resource allocation. </w:t>
      </w:r>
    </w:p>
    <w:p w14:paraId="43A4B951" w14:textId="67C46CEB" w:rsidR="00CE5C4C" w:rsidRDefault="00CE5C4C" w:rsidP="00613ED5">
      <w:pPr>
        <w:jc w:val="both"/>
        <w:rPr>
          <w:rFonts w:eastAsiaTheme="minorEastAsia"/>
          <w:lang w:val="en-GB" w:eastAsia="zh-TW"/>
        </w:rPr>
      </w:pPr>
      <w:r>
        <w:rPr>
          <w:rFonts w:eastAsiaTheme="minorEastAsia"/>
          <w:lang w:val="en-GB" w:eastAsia="zh-TW"/>
        </w:rPr>
        <w:t>In platooning use case, the group members would keep similar velocity in the group. If the group can use semi-static resource allocation, the communications would be more reliable due to less probability of resource handover problem. Therefore, it is beneficial to have the scheduling UE to allocate resource for member UEs.</w:t>
      </w:r>
    </w:p>
    <w:p w14:paraId="2D6E2DBC" w14:textId="2BDA7AC6" w:rsidR="00270EA3" w:rsidRDefault="00CE5C4C" w:rsidP="00613ED5">
      <w:pPr>
        <w:jc w:val="both"/>
        <w:rPr>
          <w:rFonts w:eastAsiaTheme="minorEastAsia"/>
          <w:lang w:val="en-GB" w:eastAsia="zh-TW"/>
        </w:rPr>
      </w:pPr>
      <w:r>
        <w:rPr>
          <w:rFonts w:eastAsiaTheme="minorEastAsia"/>
          <w:lang w:val="en-GB" w:eastAsia="zh-TW"/>
        </w:rPr>
        <w:lastRenderedPageBreak/>
        <w:t xml:space="preserve">In RAN1 AH#1901 meeting, it was agreed that a scheduled UE transmits on resource configured by scheduling UE within the group by high layer signalling in Mode 2(d). In other words, scheduling UE can send resource pool configuration or configured grant to scheduled UE by RRC signalling. </w:t>
      </w:r>
      <w:r w:rsidR="00C175B3">
        <w:rPr>
          <w:rFonts w:eastAsiaTheme="minorEastAsia"/>
          <w:lang w:val="en-GB" w:eastAsia="zh-TW"/>
        </w:rPr>
        <w:t>It is natural that Mode 2(d) can be combined with Mode 2(a).</w:t>
      </w:r>
    </w:p>
    <w:p w14:paraId="40F3132F" w14:textId="1BD954F5" w:rsidR="00CE5C4C" w:rsidRDefault="00CE5C4C" w:rsidP="00CE5C4C">
      <w:pPr>
        <w:jc w:val="both"/>
        <w:rPr>
          <w:rFonts w:eastAsiaTheme="minorEastAsia"/>
          <w:lang w:val="en-GB" w:eastAsia="zh-TW"/>
        </w:rPr>
      </w:pPr>
      <w:r>
        <w:rPr>
          <w:rFonts w:eastAsia="新細明體"/>
          <w:b/>
          <w:u w:val="single"/>
          <w:lang w:eastAsia="zh-TW"/>
        </w:rPr>
        <w:t xml:space="preserve">Proposal </w:t>
      </w:r>
      <w:r w:rsidR="00C175B3">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Mode 2 (d</w:t>
      </w:r>
      <w:r w:rsidR="00C175B3">
        <w:rPr>
          <w:rFonts w:eastAsiaTheme="minorEastAsia"/>
          <w:lang w:val="en-GB" w:eastAsia="zh-TW"/>
        </w:rPr>
        <w:t>) should be supported by joint operation of Mode 2(a) in NR V2X.</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08BEEE3F" w:rsidR="00F17D8A" w:rsidRDefault="00F17D8A" w:rsidP="00F17D8A">
      <w:pPr>
        <w:jc w:val="both"/>
        <w:rPr>
          <w:lang w:val="en-GB" w:eastAsia="zh-CN"/>
        </w:rPr>
      </w:pPr>
      <w:r w:rsidRPr="00B04778">
        <w:rPr>
          <w:lang w:val="en-GB" w:eastAsia="zh-CN"/>
        </w:rPr>
        <w:t>The following summarizes the proposals in this contribution.</w:t>
      </w:r>
    </w:p>
    <w:p w14:paraId="7D1600F9" w14:textId="77777777" w:rsidR="00C175B3" w:rsidRDefault="00C175B3" w:rsidP="00695CA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r>
        <w:t xml:space="preserve">Resource granularity for sensing and resource selection is one </w:t>
      </w:r>
      <w:proofErr w:type="spellStart"/>
      <w:r>
        <w:t>subchannel</w:t>
      </w:r>
      <w:proofErr w:type="spellEnd"/>
      <w:r>
        <w:t xml:space="preserve"> in frequency-domain and one OFDM symbol or one slot in-time domain.</w:t>
      </w:r>
    </w:p>
    <w:p w14:paraId="62C1D25E" w14:textId="40B049F3" w:rsidR="00C175B3" w:rsidRDefault="00C175B3" w:rsidP="00695CA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Long term and short term sensing methods, decoded resource allocation and resource reservation information in control channel, as well as detection of sidelink transmissions should be introduced in NR V2X.</w:t>
      </w:r>
    </w:p>
    <w:p w14:paraId="517BA2D8" w14:textId="77777777" w:rsidR="00C175B3" w:rsidRDefault="00C175B3" w:rsidP="00C175B3">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t xml:space="preserve">One weighting function can be introduced for averaging S-RSSI in sidelink measurement process. </w:t>
      </w:r>
    </w:p>
    <w:p w14:paraId="2CF1C0BB" w14:textId="50DB22DA" w:rsidR="00C175B3" w:rsidRDefault="00C175B3" w:rsidP="00695CA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t>To alleviate IBE problem, two nearby UEs’ resources can be allocated adjacently. One weighting function can be introduced to resource selection procedure to indicate RSRP difference between UE and occupied resource.</w:t>
      </w:r>
    </w:p>
    <w:p w14:paraId="0D18FE7B" w14:textId="12E75FEC" w:rsidR="00C175B3" w:rsidRDefault="00C175B3" w:rsidP="00695CAB">
      <w:pPr>
        <w:jc w:val="both"/>
        <w:rPr>
          <w:rFonts w:eastAsiaTheme="minorEastAsia"/>
          <w:lang w:val="en-GB" w:eastAsia="zh-TW"/>
        </w:rPr>
      </w:pPr>
      <w:r>
        <w:rPr>
          <w:rFonts w:eastAsia="新細明體"/>
          <w:b/>
          <w:u w:val="single"/>
          <w:lang w:eastAsia="zh-TW"/>
        </w:rPr>
        <w:t>Proposal 5</w:t>
      </w:r>
      <w:r w:rsidRPr="00143FF3">
        <w:rPr>
          <w:rFonts w:eastAsia="新細明體"/>
          <w:b/>
          <w:u w:val="single"/>
          <w:lang w:eastAsia="zh-TW"/>
        </w:rPr>
        <w:t>:</w:t>
      </w:r>
      <w:r>
        <w:rPr>
          <w:rFonts w:eastAsiaTheme="minorEastAsia"/>
          <w:lang w:val="en-GB" w:eastAsia="zh-TW"/>
        </w:rPr>
        <w:t xml:space="preserve"> Mode 2(c) should not be standalone and can be considered as functionality of Mode 2(a).</w:t>
      </w:r>
    </w:p>
    <w:p w14:paraId="51578CCB" w14:textId="6702BF40" w:rsidR="00C175B3" w:rsidRPr="00C175B3" w:rsidRDefault="00C175B3" w:rsidP="00695CAB">
      <w:pPr>
        <w:jc w:val="both"/>
        <w:rPr>
          <w:rFonts w:eastAsiaTheme="minorEastAsia"/>
          <w:lang w:val="en-GB" w:eastAsia="zh-TW"/>
        </w:rPr>
      </w:pPr>
      <w:r>
        <w:rPr>
          <w:rFonts w:eastAsia="新細明體"/>
          <w:b/>
          <w:u w:val="single"/>
          <w:lang w:eastAsia="zh-TW"/>
        </w:rPr>
        <w:t>Proposal 6</w:t>
      </w:r>
      <w:r w:rsidRPr="00143FF3">
        <w:rPr>
          <w:rFonts w:eastAsia="新細明體"/>
          <w:b/>
          <w:u w:val="single"/>
          <w:lang w:eastAsia="zh-TW"/>
        </w:rPr>
        <w:t>:</w:t>
      </w:r>
      <w:r>
        <w:rPr>
          <w:rFonts w:eastAsiaTheme="minorEastAsia"/>
          <w:lang w:val="en-GB" w:eastAsia="zh-TW"/>
        </w:rPr>
        <w:t xml:space="preserve"> Mode 2 (d) should be supported by joint operation of Mode 2(a) in NR V2X.</w:t>
      </w:r>
      <w:bookmarkStart w:id="3" w:name="_GoBack"/>
      <w:bookmarkEnd w:id="3"/>
    </w:p>
    <w:p w14:paraId="6F665BE3" w14:textId="77777777" w:rsidR="00E523F3" w:rsidRPr="000A64D8" w:rsidRDefault="00E523F3" w:rsidP="00E523F3">
      <w:pPr>
        <w:pStyle w:val="Heading1"/>
        <w:rPr>
          <w:lang w:val="en-US"/>
        </w:rPr>
      </w:pPr>
      <w:r w:rsidRPr="000A64D8">
        <w:rPr>
          <w:lang w:val="en-US"/>
        </w:rPr>
        <w:t>References</w:t>
      </w:r>
    </w:p>
    <w:p w14:paraId="05CD1AB1" w14:textId="6B7A0FAA" w:rsidR="009F2332" w:rsidRDefault="00B33BFF" w:rsidP="00B33BFF">
      <w:pPr>
        <w:numPr>
          <w:ilvl w:val="0"/>
          <w:numId w:val="1"/>
        </w:numPr>
        <w:spacing w:before="100" w:beforeAutospacing="1" w:after="100" w:afterAutospacing="1"/>
        <w:rPr>
          <w:szCs w:val="22"/>
        </w:rPr>
      </w:pPr>
      <w:r>
        <w:rPr>
          <w:szCs w:val="22"/>
        </w:rPr>
        <w:t xml:space="preserve">Chairman’s Notes, RAN1 AH#1901, Taipei, Taiwan, Jan. 2019. </w:t>
      </w:r>
    </w:p>
    <w:p w14:paraId="2CFE9FD9" w14:textId="19CE27C3" w:rsidR="00CE5C4C" w:rsidRPr="00CE5C4C" w:rsidRDefault="00CE5C4C" w:rsidP="00CE5C4C">
      <w:pPr>
        <w:numPr>
          <w:ilvl w:val="0"/>
          <w:numId w:val="1"/>
        </w:numPr>
        <w:spacing w:before="100" w:beforeAutospacing="1" w:after="100" w:afterAutospacing="1"/>
        <w:rPr>
          <w:szCs w:val="22"/>
        </w:rPr>
      </w:pPr>
      <w:r>
        <w:rPr>
          <w:szCs w:val="22"/>
        </w:rPr>
        <w:t>3GPP TS 22.186, Enhancement of 3GPP support for V2X scenarios</w:t>
      </w:r>
      <w:r>
        <w:rPr>
          <w:szCs w:val="22"/>
        </w:rPr>
        <w:t>.</w:t>
      </w:r>
    </w:p>
    <w:sectPr w:rsidR="00CE5C4C" w:rsidRPr="00CE5C4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F629" w14:textId="77777777" w:rsidR="008138AD" w:rsidRDefault="008138AD">
      <w:r>
        <w:separator/>
      </w:r>
    </w:p>
  </w:endnote>
  <w:endnote w:type="continuationSeparator" w:id="0">
    <w:p w14:paraId="213EE754" w14:textId="77777777" w:rsidR="008138AD" w:rsidRDefault="008138AD">
      <w:r>
        <w:continuationSeparator/>
      </w:r>
    </w:p>
  </w:endnote>
  <w:endnote w:type="continuationNotice" w:id="1">
    <w:p w14:paraId="1A4BCD3F" w14:textId="77777777" w:rsidR="008138AD" w:rsidRDefault="00813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8138AD" w:rsidRDefault="008138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8138AD" w:rsidRDefault="008138A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8138AD" w:rsidRDefault="008138A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75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75B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4D509" w14:textId="77777777" w:rsidR="008138AD" w:rsidRDefault="008138AD">
      <w:r>
        <w:separator/>
      </w:r>
    </w:p>
  </w:footnote>
  <w:footnote w:type="continuationSeparator" w:id="0">
    <w:p w14:paraId="57F16AB1" w14:textId="77777777" w:rsidR="008138AD" w:rsidRDefault="008138AD">
      <w:r>
        <w:continuationSeparator/>
      </w:r>
    </w:p>
  </w:footnote>
  <w:footnote w:type="continuationNotice" w:id="1">
    <w:p w14:paraId="2DD04640" w14:textId="77777777" w:rsidR="008138AD" w:rsidRDefault="008138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8138AD" w:rsidRDefault="008138AD">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2772F"/>
    <w:multiLevelType w:val="hybridMultilevel"/>
    <w:tmpl w:val="531A8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564BA2">
      <w:start w:val="1"/>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39B2"/>
    <w:multiLevelType w:val="hybridMultilevel"/>
    <w:tmpl w:val="849CF618"/>
    <w:lvl w:ilvl="0" w:tplc="1108AC88">
      <w:start w:val="1"/>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7E77DC"/>
    <w:multiLevelType w:val="hybridMultilevel"/>
    <w:tmpl w:val="B926920E"/>
    <w:lvl w:ilvl="0" w:tplc="ABE61C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248565E"/>
    <w:multiLevelType w:val="hybridMultilevel"/>
    <w:tmpl w:val="41305A52"/>
    <w:lvl w:ilvl="0" w:tplc="E7DA1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4081ABB"/>
    <w:multiLevelType w:val="hybridMultilevel"/>
    <w:tmpl w:val="D0389634"/>
    <w:lvl w:ilvl="0" w:tplc="FBC42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784952"/>
    <w:multiLevelType w:val="hybridMultilevel"/>
    <w:tmpl w:val="9C620C1A"/>
    <w:lvl w:ilvl="0" w:tplc="2C24E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C36EC"/>
    <w:multiLevelType w:val="hybridMultilevel"/>
    <w:tmpl w:val="81F4D8D4"/>
    <w:lvl w:ilvl="0" w:tplc="333004C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0"/>
  </w:num>
  <w:num w:numId="2">
    <w:abstractNumId w:val="1"/>
  </w:num>
  <w:num w:numId="3">
    <w:abstractNumId w:val="8"/>
  </w:num>
  <w:num w:numId="4">
    <w:abstractNumId w:val="11"/>
  </w:num>
  <w:num w:numId="5">
    <w:abstractNumId w:val="9"/>
  </w:num>
  <w:num w:numId="6">
    <w:abstractNumId w:val="5"/>
  </w:num>
  <w:num w:numId="7">
    <w:abstractNumId w:val="10"/>
  </w:num>
  <w:num w:numId="8">
    <w:abstractNumId w:val="14"/>
  </w:num>
  <w:num w:numId="9">
    <w:abstractNumId w:val="2"/>
  </w:num>
  <w:num w:numId="10">
    <w:abstractNumId w:val="13"/>
  </w:num>
  <w:num w:numId="11">
    <w:abstractNumId w:val="4"/>
  </w:num>
  <w:num w:numId="12">
    <w:abstractNumId w:val="7"/>
  </w:num>
  <w:num w:numId="13">
    <w:abstractNumId w:val="1"/>
  </w:num>
  <w:num w:numId="14">
    <w:abstractNumId w:val="1"/>
  </w:num>
  <w:num w:numId="15">
    <w:abstractNumId w:val="18"/>
  </w:num>
  <w:num w:numId="16">
    <w:abstractNumId w:val="6"/>
  </w:num>
  <w:num w:numId="17">
    <w:abstractNumId w:val="16"/>
  </w:num>
  <w:num w:numId="18">
    <w:abstractNumId w:val="12"/>
  </w:num>
  <w:num w:numId="19">
    <w:abstractNumId w:val="15"/>
  </w:num>
  <w:num w:numId="20">
    <w:abstractNumId w:val="3"/>
  </w:num>
  <w:num w:numId="21">
    <w:abstractNumId w:val="1"/>
  </w:num>
  <w:num w:numId="22">
    <w:abstractNumId w:val="1"/>
  </w:num>
  <w:num w:numId="23">
    <w:abstractNumId w:val="1"/>
  </w:num>
  <w:num w:numId="24">
    <w:abstractNumId w:val="1"/>
  </w:num>
  <w:num w:numId="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2F5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930"/>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697"/>
    <w:rsid w:val="00D50C82"/>
    <w:rsid w:val="00D50E5E"/>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06"/>
    <w:rsid w:val="00F558E3"/>
    <w:rsid w:val="00F55AC5"/>
    <w:rsid w:val="00F564B4"/>
    <w:rsid w:val="00F56D31"/>
    <w:rsid w:val="00F57183"/>
    <w:rsid w:val="00F5765A"/>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schemas.microsoft.com/sharepoint/v4"/>
    <ds:schemaRef ds:uri="9238aee7-caa6-41e3-83d0-457e088803cc"/>
    <ds:schemaRef ds:uri="81c2d00d-6e98-4ecf-9fde-812538fb8530"/>
    <ds:schemaRef ds:uri="http://purl.org/dc/dcmitype/"/>
  </ds:schemaRefs>
</ds:datastoreItem>
</file>

<file path=customXml/itemProps2.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18E5F897-5F6E-4BB2-B832-2F4480A96428}">
  <ds:schemaRefs>
    <ds:schemaRef ds:uri="http://schemas.openxmlformats.org/officeDocument/2006/bibliography"/>
  </ds:schemaRefs>
</ds:datastoreItem>
</file>

<file path=customXml/itemProps5.xml><?xml version="1.0" encoding="utf-8"?>
<ds:datastoreItem xmlns:ds="http://schemas.openxmlformats.org/officeDocument/2006/customXml" ds:itemID="{E24EE3A9-9A5C-4434-8753-65775B130C40}">
  <ds:schemaRefs>
    <ds:schemaRef ds:uri="http://schemas.openxmlformats.org/officeDocument/2006/bibliography"/>
  </ds:schemaRefs>
</ds:datastoreItem>
</file>

<file path=customXml/itemProps6.xml><?xml version="1.0" encoding="utf-8"?>
<ds:datastoreItem xmlns:ds="http://schemas.openxmlformats.org/officeDocument/2006/customXml" ds:itemID="{6D4BED39-66C5-418A-BA86-6A91B3F9E27D}">
  <ds:schemaRefs>
    <ds:schemaRef ds:uri="http://schemas.openxmlformats.org/officeDocument/2006/bibliography"/>
  </ds:schemaRefs>
</ds:datastoreItem>
</file>

<file path=customXml/itemProps7.xml><?xml version="1.0" encoding="utf-8"?>
<ds:datastoreItem xmlns:ds="http://schemas.openxmlformats.org/officeDocument/2006/customXml" ds:itemID="{3916CFF2-4DAF-443F-81A5-813F054F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12947</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123</cp:revision>
  <cp:lastPrinted>2016-11-09T12:39:00Z</cp:lastPrinted>
  <dcterms:created xsi:type="dcterms:W3CDTF">2017-10-02T21:34:00Z</dcterms:created>
  <dcterms:modified xsi:type="dcterms:W3CDTF">2019-02-15T07:40:00Z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